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8A" w:rsidRPr="002B5AA1" w:rsidRDefault="001B47F9" w:rsidP="002B5AA1">
      <w:pPr>
        <w:ind w:left="-1260"/>
      </w:pPr>
      <w:bookmarkStart w:id="0" w:name="_GoBack"/>
      <w:r w:rsidRPr="001B47F9">
        <w:rPr>
          <w:noProof/>
        </w:rPr>
        <w:drawing>
          <wp:inline distT="0" distB="0" distL="0" distR="0">
            <wp:extent cx="7505700" cy="742950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  <w:r w:rsidR="00A8408A">
        <w:tab/>
      </w:r>
      <w:r w:rsidR="00A8408A">
        <w:rPr>
          <w:rFonts w:ascii="AcadNusx" w:hAnsi="AcadNusx"/>
          <w:b/>
          <w:i/>
          <w:color w:val="000000" w:themeColor="text1"/>
          <w:sz w:val="18"/>
          <w:szCs w:val="18"/>
        </w:rPr>
        <w:t xml:space="preserve"> </w:t>
      </w:r>
    </w:p>
    <w:p w:rsidR="00975567" w:rsidRDefault="00664C97" w:rsidP="00A8408A">
      <w:pPr>
        <w:tabs>
          <w:tab w:val="left" w:pos="2738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sectPr w:rsidR="00975567" w:rsidSect="005B081E">
      <w:headerReference w:type="default" r:id="rId13"/>
      <w:pgSz w:w="12240" w:h="15840"/>
      <w:pgMar w:top="1530" w:right="360" w:bottom="27" w:left="1440" w:header="90" w:footer="5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176" w:rsidRDefault="00744176" w:rsidP="00F92800">
      <w:pPr>
        <w:spacing w:after="0" w:line="240" w:lineRule="auto"/>
      </w:pPr>
      <w:r>
        <w:separator/>
      </w:r>
    </w:p>
  </w:endnote>
  <w:endnote w:type="continuationSeparator" w:id="0">
    <w:p w:rsidR="00744176" w:rsidRDefault="00744176" w:rsidP="00F9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176" w:rsidRDefault="00744176" w:rsidP="00F92800">
      <w:pPr>
        <w:spacing w:after="0" w:line="240" w:lineRule="auto"/>
      </w:pPr>
      <w:r>
        <w:separator/>
      </w:r>
    </w:p>
  </w:footnote>
  <w:footnote w:type="continuationSeparator" w:id="0">
    <w:p w:rsidR="00744176" w:rsidRDefault="00744176" w:rsidP="00F9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6C4" w:rsidRDefault="00F356C4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</w:p>
  <w:p w:rsidR="00D11432" w:rsidRDefault="00D11432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</w:p>
  <w:p w:rsidR="005B081E" w:rsidRPr="00771F4E" w:rsidRDefault="00771F4E" w:rsidP="001B47F9">
    <w:pPr>
      <w:pStyle w:val="Header"/>
      <w:jc w:val="center"/>
      <w:rPr>
        <w:rFonts w:ascii="Sylfaen" w:hAnsi="Sylfaen"/>
        <w:b/>
        <w:sz w:val="26"/>
        <w:szCs w:val="26"/>
        <w:lang w:val="ka-GE"/>
      </w:rPr>
    </w:pPr>
    <w:r>
      <w:rPr>
        <w:rFonts w:ascii="Sylfaen" w:hAnsi="Sylfaen"/>
        <w:b/>
        <w:sz w:val="26"/>
        <w:szCs w:val="26"/>
        <w:lang w:val="ka-GE"/>
      </w:rPr>
      <w:t>საშემოსავლო გადასახადი 2319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800"/>
    <w:rsid w:val="00000F3F"/>
    <w:rsid w:val="00022B67"/>
    <w:rsid w:val="0002558E"/>
    <w:rsid w:val="000622A9"/>
    <w:rsid w:val="000648AD"/>
    <w:rsid w:val="00067F27"/>
    <w:rsid w:val="0007026C"/>
    <w:rsid w:val="000A7667"/>
    <w:rsid w:val="000A7C1E"/>
    <w:rsid w:val="000B66A4"/>
    <w:rsid w:val="000C567D"/>
    <w:rsid w:val="000D481A"/>
    <w:rsid w:val="000D6E3F"/>
    <w:rsid w:val="000E1460"/>
    <w:rsid w:val="000F175E"/>
    <w:rsid w:val="000F4CD0"/>
    <w:rsid w:val="00105ACF"/>
    <w:rsid w:val="00117DDB"/>
    <w:rsid w:val="001206FF"/>
    <w:rsid w:val="0012104E"/>
    <w:rsid w:val="00122098"/>
    <w:rsid w:val="00126FB3"/>
    <w:rsid w:val="0012755A"/>
    <w:rsid w:val="001339B7"/>
    <w:rsid w:val="0014485E"/>
    <w:rsid w:val="00150FC3"/>
    <w:rsid w:val="00156382"/>
    <w:rsid w:val="00160DD6"/>
    <w:rsid w:val="0016343F"/>
    <w:rsid w:val="0016544F"/>
    <w:rsid w:val="0018363B"/>
    <w:rsid w:val="00187D07"/>
    <w:rsid w:val="001B47F9"/>
    <w:rsid w:val="001C4629"/>
    <w:rsid w:val="001D0DE3"/>
    <w:rsid w:val="001E6766"/>
    <w:rsid w:val="001F311F"/>
    <w:rsid w:val="0020605F"/>
    <w:rsid w:val="00211652"/>
    <w:rsid w:val="00216FEE"/>
    <w:rsid w:val="0022319E"/>
    <w:rsid w:val="00223975"/>
    <w:rsid w:val="002435B3"/>
    <w:rsid w:val="002446D0"/>
    <w:rsid w:val="00254A4D"/>
    <w:rsid w:val="002600D7"/>
    <w:rsid w:val="002618B6"/>
    <w:rsid w:val="00282AC3"/>
    <w:rsid w:val="00283303"/>
    <w:rsid w:val="00286AB9"/>
    <w:rsid w:val="0029165A"/>
    <w:rsid w:val="00293BC3"/>
    <w:rsid w:val="00297BFD"/>
    <w:rsid w:val="002B5AA1"/>
    <w:rsid w:val="002D5A71"/>
    <w:rsid w:val="002E12C1"/>
    <w:rsid w:val="002F6E84"/>
    <w:rsid w:val="00301B36"/>
    <w:rsid w:val="00302F5E"/>
    <w:rsid w:val="0031122A"/>
    <w:rsid w:val="00313CBA"/>
    <w:rsid w:val="00315F63"/>
    <w:rsid w:val="00325688"/>
    <w:rsid w:val="00327EC0"/>
    <w:rsid w:val="003365F8"/>
    <w:rsid w:val="00336D6F"/>
    <w:rsid w:val="00337CA7"/>
    <w:rsid w:val="00340636"/>
    <w:rsid w:val="003604D7"/>
    <w:rsid w:val="0036212E"/>
    <w:rsid w:val="00376A1A"/>
    <w:rsid w:val="00384E72"/>
    <w:rsid w:val="003B0BC3"/>
    <w:rsid w:val="003B1D3F"/>
    <w:rsid w:val="003B79AA"/>
    <w:rsid w:val="003C5826"/>
    <w:rsid w:val="003D56E5"/>
    <w:rsid w:val="003E1501"/>
    <w:rsid w:val="003F1607"/>
    <w:rsid w:val="003F2C7A"/>
    <w:rsid w:val="003F5254"/>
    <w:rsid w:val="003F76C5"/>
    <w:rsid w:val="00410AF4"/>
    <w:rsid w:val="004137C9"/>
    <w:rsid w:val="0042626F"/>
    <w:rsid w:val="00443688"/>
    <w:rsid w:val="0046265F"/>
    <w:rsid w:val="00462F4D"/>
    <w:rsid w:val="00477EB3"/>
    <w:rsid w:val="00482FE6"/>
    <w:rsid w:val="004864BC"/>
    <w:rsid w:val="00486C80"/>
    <w:rsid w:val="004913E2"/>
    <w:rsid w:val="0049604D"/>
    <w:rsid w:val="004B1A81"/>
    <w:rsid w:val="004C113E"/>
    <w:rsid w:val="00506857"/>
    <w:rsid w:val="00521AFF"/>
    <w:rsid w:val="00522B27"/>
    <w:rsid w:val="00540233"/>
    <w:rsid w:val="005519E7"/>
    <w:rsid w:val="00553614"/>
    <w:rsid w:val="00555A56"/>
    <w:rsid w:val="00562C8E"/>
    <w:rsid w:val="00577107"/>
    <w:rsid w:val="0058473B"/>
    <w:rsid w:val="005A3014"/>
    <w:rsid w:val="005B081E"/>
    <w:rsid w:val="005B15F4"/>
    <w:rsid w:val="005D17C4"/>
    <w:rsid w:val="005D373C"/>
    <w:rsid w:val="005D3947"/>
    <w:rsid w:val="005D3C2D"/>
    <w:rsid w:val="00600020"/>
    <w:rsid w:val="00602386"/>
    <w:rsid w:val="00605657"/>
    <w:rsid w:val="00606D4F"/>
    <w:rsid w:val="006132D2"/>
    <w:rsid w:val="006139EA"/>
    <w:rsid w:val="00616699"/>
    <w:rsid w:val="006212CD"/>
    <w:rsid w:val="00621A7A"/>
    <w:rsid w:val="00621AE3"/>
    <w:rsid w:val="006373DA"/>
    <w:rsid w:val="006420AE"/>
    <w:rsid w:val="00660185"/>
    <w:rsid w:val="00664C97"/>
    <w:rsid w:val="00673C16"/>
    <w:rsid w:val="00674138"/>
    <w:rsid w:val="00682EC9"/>
    <w:rsid w:val="00684158"/>
    <w:rsid w:val="0068428A"/>
    <w:rsid w:val="00694DAA"/>
    <w:rsid w:val="006B3A7A"/>
    <w:rsid w:val="006B4BA0"/>
    <w:rsid w:val="006C61E9"/>
    <w:rsid w:val="006C7C44"/>
    <w:rsid w:val="006E248D"/>
    <w:rsid w:val="006F7ECF"/>
    <w:rsid w:val="00702314"/>
    <w:rsid w:val="00704A32"/>
    <w:rsid w:val="007053C7"/>
    <w:rsid w:val="0071700E"/>
    <w:rsid w:val="00735020"/>
    <w:rsid w:val="00737D44"/>
    <w:rsid w:val="007429EC"/>
    <w:rsid w:val="00742D76"/>
    <w:rsid w:val="007432AD"/>
    <w:rsid w:val="00744176"/>
    <w:rsid w:val="00755EA4"/>
    <w:rsid w:val="00760BCB"/>
    <w:rsid w:val="0076561D"/>
    <w:rsid w:val="00767220"/>
    <w:rsid w:val="00771BC6"/>
    <w:rsid w:val="00771D1E"/>
    <w:rsid w:val="00771F4E"/>
    <w:rsid w:val="00773169"/>
    <w:rsid w:val="0077568F"/>
    <w:rsid w:val="00777031"/>
    <w:rsid w:val="0077724D"/>
    <w:rsid w:val="0078613C"/>
    <w:rsid w:val="00790AD7"/>
    <w:rsid w:val="00796847"/>
    <w:rsid w:val="007B370E"/>
    <w:rsid w:val="007B3A1B"/>
    <w:rsid w:val="007B5B7E"/>
    <w:rsid w:val="007C3924"/>
    <w:rsid w:val="007F0614"/>
    <w:rsid w:val="007F16E5"/>
    <w:rsid w:val="007F2D01"/>
    <w:rsid w:val="007F6292"/>
    <w:rsid w:val="00804DA2"/>
    <w:rsid w:val="008162E2"/>
    <w:rsid w:val="008243AF"/>
    <w:rsid w:val="00842228"/>
    <w:rsid w:val="00845BBA"/>
    <w:rsid w:val="00854DDA"/>
    <w:rsid w:val="00860067"/>
    <w:rsid w:val="00881C41"/>
    <w:rsid w:val="00893650"/>
    <w:rsid w:val="00896E5E"/>
    <w:rsid w:val="00896FBE"/>
    <w:rsid w:val="008A64B0"/>
    <w:rsid w:val="008B20F0"/>
    <w:rsid w:val="008B6C18"/>
    <w:rsid w:val="008C6337"/>
    <w:rsid w:val="008D0D22"/>
    <w:rsid w:val="008D41AF"/>
    <w:rsid w:val="008D52B3"/>
    <w:rsid w:val="00914044"/>
    <w:rsid w:val="0092039E"/>
    <w:rsid w:val="0093161F"/>
    <w:rsid w:val="00950B41"/>
    <w:rsid w:val="0095282C"/>
    <w:rsid w:val="00953B4C"/>
    <w:rsid w:val="00953CC5"/>
    <w:rsid w:val="00957D64"/>
    <w:rsid w:val="009639E8"/>
    <w:rsid w:val="0096486E"/>
    <w:rsid w:val="00975567"/>
    <w:rsid w:val="00993963"/>
    <w:rsid w:val="009A26C0"/>
    <w:rsid w:val="009B049E"/>
    <w:rsid w:val="009B39D6"/>
    <w:rsid w:val="009E6A2D"/>
    <w:rsid w:val="009E7494"/>
    <w:rsid w:val="00A058F6"/>
    <w:rsid w:val="00A167C0"/>
    <w:rsid w:val="00A168BD"/>
    <w:rsid w:val="00A64B1D"/>
    <w:rsid w:val="00A65210"/>
    <w:rsid w:val="00A8408A"/>
    <w:rsid w:val="00AA5E93"/>
    <w:rsid w:val="00AC698E"/>
    <w:rsid w:val="00AD5670"/>
    <w:rsid w:val="00AE5F1A"/>
    <w:rsid w:val="00AF7E2B"/>
    <w:rsid w:val="00B0402D"/>
    <w:rsid w:val="00B15FFE"/>
    <w:rsid w:val="00B22880"/>
    <w:rsid w:val="00B3488B"/>
    <w:rsid w:val="00B36F73"/>
    <w:rsid w:val="00B37A99"/>
    <w:rsid w:val="00B56E57"/>
    <w:rsid w:val="00B91EAA"/>
    <w:rsid w:val="00BA682D"/>
    <w:rsid w:val="00BC3391"/>
    <w:rsid w:val="00BC407B"/>
    <w:rsid w:val="00BD5B31"/>
    <w:rsid w:val="00BE2185"/>
    <w:rsid w:val="00BE3393"/>
    <w:rsid w:val="00BE4D7D"/>
    <w:rsid w:val="00BE4FB0"/>
    <w:rsid w:val="00BE65CB"/>
    <w:rsid w:val="00C25317"/>
    <w:rsid w:val="00C340E0"/>
    <w:rsid w:val="00C43CAA"/>
    <w:rsid w:val="00C44B02"/>
    <w:rsid w:val="00C56BAC"/>
    <w:rsid w:val="00C573ED"/>
    <w:rsid w:val="00C8087A"/>
    <w:rsid w:val="00C84CE3"/>
    <w:rsid w:val="00CA4EE9"/>
    <w:rsid w:val="00CC3805"/>
    <w:rsid w:val="00D028B8"/>
    <w:rsid w:val="00D06AA6"/>
    <w:rsid w:val="00D10240"/>
    <w:rsid w:val="00D11432"/>
    <w:rsid w:val="00D12791"/>
    <w:rsid w:val="00D158DC"/>
    <w:rsid w:val="00D33FAE"/>
    <w:rsid w:val="00D359B1"/>
    <w:rsid w:val="00D3761D"/>
    <w:rsid w:val="00D41BF1"/>
    <w:rsid w:val="00D52211"/>
    <w:rsid w:val="00D53A7E"/>
    <w:rsid w:val="00D713C3"/>
    <w:rsid w:val="00D849AF"/>
    <w:rsid w:val="00DA15CB"/>
    <w:rsid w:val="00DB38C5"/>
    <w:rsid w:val="00DB7BDB"/>
    <w:rsid w:val="00DE0F11"/>
    <w:rsid w:val="00E22B2B"/>
    <w:rsid w:val="00E32258"/>
    <w:rsid w:val="00E339CA"/>
    <w:rsid w:val="00E45054"/>
    <w:rsid w:val="00E55ED1"/>
    <w:rsid w:val="00E62775"/>
    <w:rsid w:val="00E911D3"/>
    <w:rsid w:val="00E9351D"/>
    <w:rsid w:val="00E97C21"/>
    <w:rsid w:val="00EB31ED"/>
    <w:rsid w:val="00EB51AE"/>
    <w:rsid w:val="00EC55F1"/>
    <w:rsid w:val="00EE36B1"/>
    <w:rsid w:val="00EE6315"/>
    <w:rsid w:val="00EF3C3A"/>
    <w:rsid w:val="00F10EA5"/>
    <w:rsid w:val="00F12ECF"/>
    <w:rsid w:val="00F22477"/>
    <w:rsid w:val="00F356C4"/>
    <w:rsid w:val="00F362CC"/>
    <w:rsid w:val="00F37010"/>
    <w:rsid w:val="00F4710F"/>
    <w:rsid w:val="00F47486"/>
    <w:rsid w:val="00F5323D"/>
    <w:rsid w:val="00F55D35"/>
    <w:rsid w:val="00F64EC7"/>
    <w:rsid w:val="00F71B68"/>
    <w:rsid w:val="00F72240"/>
    <w:rsid w:val="00F82E31"/>
    <w:rsid w:val="00F92800"/>
    <w:rsid w:val="00F92C0E"/>
    <w:rsid w:val="00F93C4F"/>
    <w:rsid w:val="00FB68D5"/>
    <w:rsid w:val="00FC1E94"/>
    <w:rsid w:val="00FC67D3"/>
    <w:rsid w:val="00FD12C5"/>
    <w:rsid w:val="00FD3A66"/>
    <w:rsid w:val="00FD431C"/>
    <w:rsid w:val="00FE0B5B"/>
    <w:rsid w:val="00FE7B27"/>
    <w:rsid w:val="00FF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800"/>
  </w:style>
  <w:style w:type="paragraph" w:styleId="Footer">
    <w:name w:val="footer"/>
    <w:basedOn w:val="Normal"/>
    <w:link w:val="Foot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800"/>
  </w:style>
  <w:style w:type="paragraph" w:styleId="Footer">
    <w:name w:val="footer"/>
    <w:basedOn w:val="Normal"/>
    <w:link w:val="Foot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ფაქტობრივი გარემოებები</a:t>
          </a:r>
          <a:endParaRPr lang="en-US" sz="1200" b="1">
            <a:latin typeface="Sylfaen" pitchFamily="18" charset="0"/>
          </a:endParaRP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შეფასება</a:t>
          </a:r>
          <a:endParaRPr lang="en-US" sz="1200" b="1">
            <a:latin typeface="Sylfaen" pitchFamily="18" charset="0"/>
          </a:endParaRP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ღონისძიებები</a:t>
          </a:r>
          <a:endParaRPr lang="en-US" sz="1200" b="1">
            <a:latin typeface="Sylfaen" pitchFamily="18" charset="0"/>
          </a:endParaRP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b="1"/>
        </a:p>
      </dgm:t>
    </dgm:pt>
    <dgm:pt modelId="{EC4D90D5-A3B7-4A12-88DA-77AA7E9A9696}">
      <dgm:prSet custT="1"/>
      <dgm:spPr/>
      <dgm:t>
        <a:bodyPr/>
        <a:lstStyle/>
        <a:p>
          <a:r>
            <a:rPr lang="ka-GE" sz="1100" b="0">
              <a:latin typeface="Sylfaen" pitchFamily="18" charset="0"/>
            </a:rPr>
            <a:t>საწარმოს მიერ საგადასახადო ორგანოში არ არის წარდგენილი 2004 წლის ყოველთვიური საშემოსავლო გადასახადის გაანგარიშება</a:t>
          </a:r>
          <a:endParaRPr lang="en-US" sz="1100" b="0">
            <a:latin typeface="Sylfaen" pitchFamily="18" charset="0"/>
          </a:endParaRPr>
        </a:p>
      </dgm:t>
    </dgm:pt>
    <dgm:pt modelId="{02B9985B-7F57-43D5-A167-ED9248916466}" type="parTrans" cxnId="{CC61CAD8-20F9-4D1B-8F00-82CF26AF7D3E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C0C1723F-131E-443A-96FF-9BE700D1BD0D}" type="sibTrans" cxnId="{CC61CAD8-20F9-4D1B-8F00-82CF26AF7D3E}">
      <dgm:prSet/>
      <dgm:spPr/>
      <dgm:t>
        <a:bodyPr/>
        <a:lstStyle/>
        <a:p>
          <a:endParaRPr lang="en-US" b="1"/>
        </a:p>
      </dgm:t>
    </dgm:pt>
    <dgm:pt modelId="{2A593D08-6C4F-4893-8DEF-0F179E451227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2004 წლის სოციალური გადასახადის პირადი ბარათის მიხედვით გაირკვა, რომ საწარმოს დეკლარირებული აქვს სოციალური გადასახადი, რითაც დგინდება საშემოსავლო გადასახადის ბაზა და ხელფასების გაცემის ფაქტი</a:t>
          </a:r>
          <a:endParaRPr lang="en-US" sz="1100">
            <a:latin typeface="Sylfaen" pitchFamily="18" charset="0"/>
          </a:endParaRPr>
        </a:p>
      </dgm:t>
    </dgm:pt>
    <dgm:pt modelId="{C902E2DB-BEC8-4856-BA4D-E8C3C7168B79}" type="parTrans" cxnId="{F70FCFE0-EAD8-46B2-8883-423F734FFEEB}">
      <dgm:prSet/>
      <dgm:spPr/>
      <dgm:t>
        <a:bodyPr/>
        <a:lstStyle/>
        <a:p>
          <a:endParaRPr lang="en-US"/>
        </a:p>
      </dgm:t>
    </dgm:pt>
    <dgm:pt modelId="{8B01C6E7-502C-4DDA-AD2D-4A3C9360150F}" type="sibTrans" cxnId="{F70FCFE0-EAD8-46B2-8883-423F734FFEEB}">
      <dgm:prSet/>
      <dgm:spPr/>
      <dgm:t>
        <a:bodyPr/>
        <a:lstStyle/>
        <a:p>
          <a:endParaRPr lang="en-US"/>
        </a:p>
      </dgm:t>
    </dgm:pt>
    <dgm:pt modelId="{9C07E8BA-B3FD-42C8-B782-31F94FDE4DD6}">
      <dgm:prSet custT="1"/>
      <dgm:spPr/>
      <dgm:t>
        <a:bodyPr/>
        <a:lstStyle/>
        <a:p>
          <a:r>
            <a:rPr lang="ka-GE" sz="1100">
              <a:solidFill>
                <a:schemeClr val="tx1"/>
              </a:solidFill>
              <a:latin typeface="Sylfaen" pitchFamily="18" charset="0"/>
            </a:rPr>
            <a:t>საწარმო</a:t>
          </a:r>
          <a:r>
            <a:rPr lang="ka-GE" sz="1100" baseline="0">
              <a:solidFill>
                <a:schemeClr val="tx1"/>
              </a:solidFill>
              <a:latin typeface="Sylfaen" pitchFamily="18" charset="0"/>
            </a:rPr>
            <a:t> ვალდებული იყო დაეკავებინა საშემოსავლო გადასახადი, განეხორციელებინა ანგარიშგება და გადაერიცხა ბიუჯეტში შესაბამისი თვეების მიხედვით</a:t>
          </a:r>
          <a:endParaRPr lang="en-US" sz="1100">
            <a:solidFill>
              <a:schemeClr val="tx1"/>
            </a:solidFill>
            <a:latin typeface="Sylfaen" pitchFamily="18" charset="0"/>
          </a:endParaRPr>
        </a:p>
      </dgm:t>
    </dgm:pt>
    <dgm:pt modelId="{3F98D161-D752-4940-A3D1-1ED95BE5267D}" type="parTrans" cxnId="{55A8A129-A5D9-446E-8C24-4A7E5EDDBBDC}">
      <dgm:prSet/>
      <dgm:spPr/>
      <dgm:t>
        <a:bodyPr/>
        <a:lstStyle/>
        <a:p>
          <a:endParaRPr lang="en-US"/>
        </a:p>
      </dgm:t>
    </dgm:pt>
    <dgm:pt modelId="{FD503510-49B1-4365-B7AF-30C80A18DA9B}" type="sibTrans" cxnId="{55A8A129-A5D9-446E-8C24-4A7E5EDDBBDC}">
      <dgm:prSet/>
      <dgm:spPr/>
      <dgm:t>
        <a:bodyPr/>
        <a:lstStyle/>
        <a:p>
          <a:endParaRPr lang="en-US"/>
        </a:p>
      </dgm:t>
    </dgm:pt>
    <dgm:pt modelId="{B4D11B42-E642-4237-B8F9-795C9B3B1616}">
      <dgm:prSet custT="1"/>
      <dgm:spPr/>
      <dgm:t>
        <a:bodyPr/>
        <a:lstStyle/>
        <a:p>
          <a:r>
            <a:rPr lang="ka-GE" sz="1100" b="0" i="0">
              <a:latin typeface="Sylfaen" pitchFamily="18" charset="0"/>
            </a:rPr>
            <a:t>უნდა განხორციელდეს საშემოსავლო გადასახადის გაანგარიშება სოციალური გადასახადის დეკალრაციაში ასახული მონაცემებიდან გამომდინარე შესაბამისი პერიოდების მიხედვით </a:t>
          </a:r>
          <a:endParaRPr lang="en-US" sz="1100" b="0" i="0">
            <a:latin typeface="Sylfaen" pitchFamily="18" charset="0"/>
          </a:endParaRPr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b="1"/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29A998F4-CA6D-4B77-B703-EBB58EDD4D4D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უნდა მოხდეს გამოანგარიშებული საშემოსავლო გადასახადის ძირითადი გადასახადის სახით დარიცხვა შესაბამისი პერიოდების მიხედვით</a:t>
          </a:r>
          <a:endParaRPr lang="en-US" sz="1100">
            <a:latin typeface="Sylfaen" pitchFamily="18" charset="0"/>
          </a:endParaRPr>
        </a:p>
      </dgm:t>
    </dgm:pt>
    <dgm:pt modelId="{04CF069F-3651-45EC-8CB2-537F82ED770E}" type="parTrans" cxnId="{A5AF3429-0E30-400C-8536-782BAA3591AF}">
      <dgm:prSet/>
      <dgm:spPr/>
      <dgm:t>
        <a:bodyPr/>
        <a:lstStyle/>
        <a:p>
          <a:endParaRPr lang="en-US"/>
        </a:p>
      </dgm:t>
    </dgm:pt>
    <dgm:pt modelId="{2E046194-F887-406D-81AC-930F2EA93112}" type="sibTrans" cxnId="{A5AF3429-0E30-400C-8536-782BAA3591AF}">
      <dgm:prSet/>
      <dgm:spPr/>
      <dgm:t>
        <a:bodyPr/>
        <a:lstStyle/>
        <a:p>
          <a:endParaRPr lang="en-US"/>
        </a:p>
      </dgm:t>
    </dgm:pt>
    <dgm:pt modelId="{C05276AB-2B37-4F03-80CB-53681018626A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საგადასახადო შემოწმებისას, შემმოწმებელთა მხრიდან კანონმდებლობით დადგენილი წესით მოთხოვნის მიუხედავად, საწარმომ არ წარადგინა შესაბამისი პერიოდის საშემოსავლო გადასახადის გაანგარიშებები</a:t>
          </a:r>
          <a:endParaRPr lang="en-US" sz="1100">
            <a:latin typeface="Sylfaen" pitchFamily="18" charset="0"/>
          </a:endParaRPr>
        </a:p>
      </dgm:t>
    </dgm:pt>
    <dgm:pt modelId="{9EB67732-3D77-4837-997C-BE4062F9BB54}" type="parTrans" cxnId="{7783C2E7-41B4-47B6-9CA5-1BB8398934BA}">
      <dgm:prSet/>
      <dgm:spPr/>
      <dgm:t>
        <a:bodyPr/>
        <a:lstStyle/>
        <a:p>
          <a:endParaRPr lang="en-US"/>
        </a:p>
      </dgm:t>
    </dgm:pt>
    <dgm:pt modelId="{1C343C98-C3DC-43FC-9D7D-049EA64FCAFE}" type="sibTrans" cxnId="{7783C2E7-41B4-47B6-9CA5-1BB8398934BA}">
      <dgm:prSet/>
      <dgm:spPr/>
      <dgm:t>
        <a:bodyPr/>
        <a:lstStyle/>
        <a:p>
          <a:endParaRPr lang="en-US"/>
        </a:p>
      </dgm:t>
    </dgm:pt>
    <dgm:pt modelId="{854D9B65-46B8-4E61-8EC4-51E17144685E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საწარმო შესაბამის გაანგარიშების ფორმის წარუდგენლობისათვის დაჯარიმდება სსკ-ის 137-ე მუხლის საფუძველზე</a:t>
          </a:r>
          <a:endParaRPr lang="en-US" sz="1100">
            <a:latin typeface="Sylfaen" pitchFamily="18" charset="0"/>
          </a:endParaRPr>
        </a:p>
      </dgm:t>
    </dgm:pt>
    <dgm:pt modelId="{F89AF49F-A488-44B1-BFC1-3B4B7A0B9C6F}" type="parTrans" cxnId="{044A75D3-451C-44E2-B16F-36C1A0ED6918}">
      <dgm:prSet/>
      <dgm:spPr/>
      <dgm:t>
        <a:bodyPr/>
        <a:lstStyle/>
        <a:p>
          <a:endParaRPr lang="en-US"/>
        </a:p>
      </dgm:t>
    </dgm:pt>
    <dgm:pt modelId="{59E552B7-DFA4-433A-BEE2-CCC0EEFD2674}" type="sibTrans" cxnId="{044A75D3-451C-44E2-B16F-36C1A0ED6918}">
      <dgm:prSet/>
      <dgm:spPr/>
      <dgm:t>
        <a:bodyPr/>
        <a:lstStyle/>
        <a:p>
          <a:endParaRPr lang="en-US"/>
        </a:p>
      </dgm:t>
    </dgm:pt>
    <dgm:pt modelId="{BDBCC219-4C3D-48A0-873D-3410196E724D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საწარმო დაჯარიმდება გადასახადის თანხის დაუკავებლობის გამო სსკ-ის 134-ე მუხლის საფუძველზე</a:t>
          </a:r>
          <a:endParaRPr lang="en-US" sz="1100">
            <a:latin typeface="Sylfaen" pitchFamily="18" charset="0"/>
          </a:endParaRPr>
        </a:p>
      </dgm:t>
    </dgm:pt>
    <dgm:pt modelId="{2019600F-B700-4DA1-B020-802B66500AC1}" type="parTrans" cxnId="{A4B6C6F7-F75D-4CC1-8836-82FD7525117F}">
      <dgm:prSet/>
      <dgm:spPr/>
      <dgm:t>
        <a:bodyPr/>
        <a:lstStyle/>
        <a:p>
          <a:endParaRPr lang="en-US"/>
        </a:p>
      </dgm:t>
    </dgm:pt>
    <dgm:pt modelId="{03CC8ED1-B7F6-4DCA-B04B-B8210E27AD0B}" type="sibTrans" cxnId="{A4B6C6F7-F75D-4CC1-8836-82FD7525117F}">
      <dgm:prSet/>
      <dgm:spPr/>
      <dgm:t>
        <a:bodyPr/>
        <a:lstStyle/>
        <a:p>
          <a:endParaRPr lang="en-US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X="172399" custScaleY="85174" custLinFactNeighborX="16882" custLinFactNeighborY="-92928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E401CA66-E0CC-4580-B865-916053515C0A}" type="pres">
      <dgm:prSet presAssocID="{02B9985B-7F57-43D5-A167-ED9248916466}" presName="Name13" presStyleLbl="parChTrans1D2" presStyleIdx="0" presStyleCnt="8"/>
      <dgm:spPr/>
      <dgm:t>
        <a:bodyPr/>
        <a:lstStyle/>
        <a:p>
          <a:endParaRPr lang="en-US"/>
        </a:p>
      </dgm:t>
    </dgm:pt>
    <dgm:pt modelId="{502E3CA8-4633-4F6E-956E-8D77AF0B9A67}" type="pres">
      <dgm:prSet presAssocID="{EC4D90D5-A3B7-4A12-88DA-77AA7E9A9696}" presName="childText" presStyleLbl="bgAcc1" presStyleIdx="0" presStyleCnt="8" custScaleX="186908" custScaleY="246440" custLinFactNeighborX="17855" custLinFactNeighborY="-6830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317D2F-48EA-4414-B8C3-0F0DF1020FA4}" type="pres">
      <dgm:prSet presAssocID="{C902E2DB-BEC8-4856-BA4D-E8C3C7168B79}" presName="Name13" presStyleLbl="parChTrans1D2" presStyleIdx="1" presStyleCnt="8"/>
      <dgm:spPr/>
      <dgm:t>
        <a:bodyPr/>
        <a:lstStyle/>
        <a:p>
          <a:endParaRPr lang="en-US"/>
        </a:p>
      </dgm:t>
    </dgm:pt>
    <dgm:pt modelId="{06166254-EAD0-4311-851E-F063E7192781}" type="pres">
      <dgm:prSet presAssocID="{2A593D08-6C4F-4893-8DEF-0F179E451227}" presName="childText" presStyleLbl="bgAcc1" presStyleIdx="1" presStyleCnt="8" custScaleX="196583" custScaleY="350495" custLinFactNeighborX="14927" custLinFactNeighborY="-6060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BDC0A78-E0F7-49BA-94F7-90F8325464B0}" type="pres">
      <dgm:prSet presAssocID="{9EB67732-3D77-4837-997C-BE4062F9BB54}" presName="Name13" presStyleLbl="parChTrans1D2" presStyleIdx="2" presStyleCnt="8"/>
      <dgm:spPr/>
      <dgm:t>
        <a:bodyPr/>
        <a:lstStyle/>
        <a:p>
          <a:endParaRPr lang="en-US"/>
        </a:p>
      </dgm:t>
    </dgm:pt>
    <dgm:pt modelId="{A0FCCB2E-3A45-460E-890E-5C6DC46BDDA2}" type="pres">
      <dgm:prSet presAssocID="{C05276AB-2B37-4F03-80CB-53681018626A}" presName="childText" presStyleLbl="bgAcc1" presStyleIdx="2" presStyleCnt="8" custScaleX="198449" custScaleY="328292" custLinFactNeighborX="14043" custLinFactNeighborY="-5788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X="230901" custScaleY="83335" custLinFactNeighborX="1306" custLinFactNeighborY="-96138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5873286C-BE2C-4BDC-AB7F-83A56B85C3BA}" type="pres">
      <dgm:prSet presAssocID="{3F98D161-D752-4940-A3D1-1ED95BE5267D}" presName="Name13" presStyleLbl="parChTrans1D2" presStyleIdx="3" presStyleCnt="8"/>
      <dgm:spPr/>
      <dgm:t>
        <a:bodyPr/>
        <a:lstStyle/>
        <a:p>
          <a:endParaRPr lang="en-US"/>
        </a:p>
      </dgm:t>
    </dgm:pt>
    <dgm:pt modelId="{F5A3E357-4324-493A-86ED-EC691E29B736}" type="pres">
      <dgm:prSet presAssocID="{9C07E8BA-B3FD-42C8-B782-31F94FDE4DD6}" presName="childText" presStyleLbl="bgAcc1" presStyleIdx="3" presStyleCnt="8" custScaleX="236588" custScaleY="213002" custLinFactNeighborX="-5925" custLinFactNeighborY="-6643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X="176171" custScaleY="84722" custLinFactNeighborX="-11225" custLinFactNeighborY="-97851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4" presStyleCnt="8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4" presStyleCnt="8" custScaleX="212769" custScaleY="250602" custLinFactNeighborX="-21067" custLinFactNeighborY="-6873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4A5C1A-F165-419D-AF4E-5B55115246BA}" type="pres">
      <dgm:prSet presAssocID="{04CF069F-3651-45EC-8CB2-537F82ED770E}" presName="Name13" presStyleLbl="parChTrans1D2" presStyleIdx="5" presStyleCnt="8"/>
      <dgm:spPr/>
      <dgm:t>
        <a:bodyPr/>
        <a:lstStyle/>
        <a:p>
          <a:endParaRPr lang="en-US"/>
        </a:p>
      </dgm:t>
    </dgm:pt>
    <dgm:pt modelId="{9272F942-0445-4013-9BB5-584A45F92046}" type="pres">
      <dgm:prSet presAssocID="{29A998F4-CA6D-4B77-B703-EBB58EDD4D4D}" presName="childText" presStyleLbl="bgAcc1" presStyleIdx="5" presStyleCnt="8" custScaleX="215328" custScaleY="226935" custLinFactNeighborX="-20971" custLinFactNeighborY="-7404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38952E-665C-4463-B37A-A786B882B495}" type="pres">
      <dgm:prSet presAssocID="{F89AF49F-A488-44B1-BFC1-3B4B7A0B9C6F}" presName="Name13" presStyleLbl="parChTrans1D2" presStyleIdx="6" presStyleCnt="8"/>
      <dgm:spPr/>
      <dgm:t>
        <a:bodyPr/>
        <a:lstStyle/>
        <a:p>
          <a:endParaRPr lang="en-US"/>
        </a:p>
      </dgm:t>
    </dgm:pt>
    <dgm:pt modelId="{73D62561-92BD-4D7F-9A79-FD565A47F148}" type="pres">
      <dgm:prSet presAssocID="{854D9B65-46B8-4E61-8EC4-51E17144685E}" presName="childText" presStyleLbl="bgAcc1" presStyleIdx="6" presStyleCnt="8" custScaleX="210505" custScaleY="170699" custLinFactNeighborX="-19039" custLinFactNeighborY="-795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579173D-D7B7-47BC-B2BE-62E9DB6F29E9}" type="pres">
      <dgm:prSet presAssocID="{2019600F-B700-4DA1-B020-802B66500AC1}" presName="Name13" presStyleLbl="parChTrans1D2" presStyleIdx="7" presStyleCnt="8"/>
      <dgm:spPr/>
      <dgm:t>
        <a:bodyPr/>
        <a:lstStyle/>
        <a:p>
          <a:endParaRPr lang="en-US"/>
        </a:p>
      </dgm:t>
    </dgm:pt>
    <dgm:pt modelId="{19F52A35-1DDD-4AA1-8030-AC492AEDD601}" type="pres">
      <dgm:prSet presAssocID="{BDBCC219-4C3D-48A0-873D-3410196E724D}" presName="childText" presStyleLbl="bgAcc1" presStyleIdx="7" presStyleCnt="8" custScaleX="206048" custScaleY="185524" custLinFactNeighborX="-17194" custLinFactNeighborY="-8583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0C6284-4ACB-44C1-9AE4-89F0D8AFF5A8}" type="presOf" srcId="{C902E2DB-BEC8-4856-BA4D-E8C3C7168B79}" destId="{F1317D2F-48EA-4414-B8C3-0F0DF1020FA4}" srcOrd="0" destOrd="0" presId="urn:microsoft.com/office/officeart/2005/8/layout/hierarchy3"/>
    <dgm:cxn modelId="{7783C2E7-41B4-47B6-9CA5-1BB8398934BA}" srcId="{6EDDC9A4-7743-45A1-A47F-DDC8AA334378}" destId="{C05276AB-2B37-4F03-80CB-53681018626A}" srcOrd="2" destOrd="0" parTransId="{9EB67732-3D77-4837-997C-BE4062F9BB54}" sibTransId="{1C343C98-C3DC-43FC-9D7D-049EA64FCAFE}"/>
    <dgm:cxn modelId="{0C3CAE65-5A01-4FFD-8969-ED867111CE48}" type="presOf" srcId="{B4D11B42-E642-4237-B8F9-795C9B3B1616}" destId="{5833CB5C-BF6D-4796-A3D1-E840B57D7143}" srcOrd="0" destOrd="0" presId="urn:microsoft.com/office/officeart/2005/8/layout/hierarchy3"/>
    <dgm:cxn modelId="{66865BF1-4D74-4574-B09E-2E43A2ECF2D4}" type="presOf" srcId="{9EB67732-3D77-4837-997C-BE4062F9BB54}" destId="{6BDC0A78-E0F7-49BA-94F7-90F8325464B0}" srcOrd="0" destOrd="0" presId="urn:microsoft.com/office/officeart/2005/8/layout/hierarchy3"/>
    <dgm:cxn modelId="{044A75D3-451C-44E2-B16F-36C1A0ED6918}" srcId="{E40EDAB5-D188-4812-A61A-95A9AC19C0AE}" destId="{854D9B65-46B8-4E61-8EC4-51E17144685E}" srcOrd="2" destOrd="0" parTransId="{F89AF49F-A488-44B1-BFC1-3B4B7A0B9C6F}" sibTransId="{59E552B7-DFA4-433A-BEE2-CCC0EEFD2674}"/>
    <dgm:cxn modelId="{EAE9B085-09AB-4FAF-A303-9159F9F1E556}" type="presOf" srcId="{3F98D161-D752-4940-A3D1-1ED95BE5267D}" destId="{5873286C-BE2C-4BDC-AB7F-83A56B85C3BA}" srcOrd="0" destOrd="0" presId="urn:microsoft.com/office/officeart/2005/8/layout/hierarchy3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966D00DF-9C16-4EAE-9051-8046813315B6}" type="presOf" srcId="{04CF069F-3651-45EC-8CB2-537F82ED770E}" destId="{6A4A5C1A-F165-419D-AF4E-5B55115246BA}" srcOrd="0" destOrd="0" presId="urn:microsoft.com/office/officeart/2005/8/layout/hierarchy3"/>
    <dgm:cxn modelId="{490E9F53-0778-4DA8-A09F-1F0449F3C207}" type="presOf" srcId="{0864151C-55A8-4402-A51E-35DDE1DCFDCF}" destId="{CCF1B5AD-441C-4182-AB14-F5EBF8654620}" srcOrd="0" destOrd="0" presId="urn:microsoft.com/office/officeart/2005/8/layout/hierarchy3"/>
    <dgm:cxn modelId="{A4B6C6F7-F75D-4CC1-8836-82FD7525117F}" srcId="{E40EDAB5-D188-4812-A61A-95A9AC19C0AE}" destId="{BDBCC219-4C3D-48A0-873D-3410196E724D}" srcOrd="3" destOrd="0" parTransId="{2019600F-B700-4DA1-B020-802B66500AC1}" sibTransId="{03CC8ED1-B7F6-4DCA-B04B-B8210E27AD0B}"/>
    <dgm:cxn modelId="{4179140D-DD01-4D8E-9E06-5CA9D469734C}" type="presOf" srcId="{29A998F4-CA6D-4B77-B703-EBB58EDD4D4D}" destId="{9272F942-0445-4013-9BB5-584A45F92046}" srcOrd="0" destOrd="0" presId="urn:microsoft.com/office/officeart/2005/8/layout/hierarchy3"/>
    <dgm:cxn modelId="{91CE67EB-4F9E-4E84-B6BF-6DC5E06106BB}" type="presOf" srcId="{63BFCA6C-BEC4-435A-8E72-0F4C0248610F}" destId="{EE9D00C4-D2C7-4FC5-8294-1E69973FB5F8}" srcOrd="0" destOrd="0" presId="urn:microsoft.com/office/officeart/2005/8/layout/hierarchy3"/>
    <dgm:cxn modelId="{F70FCFE0-EAD8-46B2-8883-423F734FFEEB}" srcId="{6EDDC9A4-7743-45A1-A47F-DDC8AA334378}" destId="{2A593D08-6C4F-4893-8DEF-0F179E451227}" srcOrd="1" destOrd="0" parTransId="{C902E2DB-BEC8-4856-BA4D-E8C3C7168B79}" sibTransId="{8B01C6E7-502C-4DDA-AD2D-4A3C9360150F}"/>
    <dgm:cxn modelId="{CC61CAD8-20F9-4D1B-8F00-82CF26AF7D3E}" srcId="{6EDDC9A4-7743-45A1-A47F-DDC8AA334378}" destId="{EC4D90D5-A3B7-4A12-88DA-77AA7E9A9696}" srcOrd="0" destOrd="0" parTransId="{02B9985B-7F57-43D5-A167-ED9248916466}" sibTransId="{C0C1723F-131E-443A-96FF-9BE700D1BD0D}"/>
    <dgm:cxn modelId="{956351EB-AE01-4381-938E-D5DF9A63A391}" type="presOf" srcId="{6EDDC9A4-7743-45A1-A47F-DDC8AA334378}" destId="{1A83EF98-3231-40EA-B1D6-7E43DBA651A6}" srcOrd="0" destOrd="0" presId="urn:microsoft.com/office/officeart/2005/8/layout/hierarchy3"/>
    <dgm:cxn modelId="{A5AF3429-0E30-400C-8536-782BAA3591AF}" srcId="{E40EDAB5-D188-4812-A61A-95A9AC19C0AE}" destId="{29A998F4-CA6D-4B77-B703-EBB58EDD4D4D}" srcOrd="1" destOrd="0" parTransId="{04CF069F-3651-45EC-8CB2-537F82ED770E}" sibTransId="{2E046194-F887-406D-81AC-930F2EA93112}"/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08EAF53C-29DE-4BB3-A7CF-0153CD7C7C9A}" type="presOf" srcId="{2019600F-B700-4DA1-B020-802B66500AC1}" destId="{F579173D-D7B7-47BC-B2BE-62E9DB6F29E9}" srcOrd="0" destOrd="0" presId="urn:microsoft.com/office/officeart/2005/8/layout/hierarchy3"/>
    <dgm:cxn modelId="{A33E137C-D446-432F-AB32-FF31DE6E4958}" type="presOf" srcId="{854D9B65-46B8-4E61-8EC4-51E17144685E}" destId="{73D62561-92BD-4D7F-9A79-FD565A47F148}" srcOrd="0" destOrd="0" presId="urn:microsoft.com/office/officeart/2005/8/layout/hierarchy3"/>
    <dgm:cxn modelId="{7F75888B-EFDE-4422-9E13-44FEEBDAB10E}" type="presOf" srcId="{EC4D90D5-A3B7-4A12-88DA-77AA7E9A9696}" destId="{502E3CA8-4633-4F6E-956E-8D77AF0B9A67}" srcOrd="0" destOrd="0" presId="urn:microsoft.com/office/officeart/2005/8/layout/hierarchy3"/>
    <dgm:cxn modelId="{5E4B7C8A-EBC3-49AA-B28E-3FDA34601790}" type="presOf" srcId="{C05276AB-2B37-4F03-80CB-53681018626A}" destId="{A0FCCB2E-3A45-460E-890E-5C6DC46BDDA2}" srcOrd="0" destOrd="0" presId="urn:microsoft.com/office/officeart/2005/8/layout/hierarchy3"/>
    <dgm:cxn modelId="{F48FB547-3050-4955-9BE7-0416D882F4E6}" type="presOf" srcId="{E40EDAB5-D188-4812-A61A-95A9AC19C0AE}" destId="{FA81A31F-68B4-47C4-B547-823393526F80}" srcOrd="1" destOrd="0" presId="urn:microsoft.com/office/officeart/2005/8/layout/hierarchy3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9166CED9-E484-4B06-9EB3-6305838F400F}" type="presOf" srcId="{0864151C-55A8-4402-A51E-35DDE1DCFDCF}" destId="{F5A8D68E-1317-4112-8179-3D951CA9F398}" srcOrd="1" destOrd="0" presId="urn:microsoft.com/office/officeart/2005/8/layout/hierarchy3"/>
    <dgm:cxn modelId="{EAC8F029-5E72-45BA-BABE-ED3B61347669}" type="presOf" srcId="{E40EDAB5-D188-4812-A61A-95A9AC19C0AE}" destId="{A52CC481-1E94-45D5-998C-116D7F06F43C}" srcOrd="0" destOrd="0" presId="urn:microsoft.com/office/officeart/2005/8/layout/hierarchy3"/>
    <dgm:cxn modelId="{D0075E54-2927-4259-B07F-45DD9840658D}" type="presOf" srcId="{AF2C8C0F-097D-4DC9-9C67-E8D19F634135}" destId="{B388476D-662D-499E-86FF-075E40B9B116}" srcOrd="0" destOrd="0" presId="urn:microsoft.com/office/officeart/2005/8/layout/hierarchy3"/>
    <dgm:cxn modelId="{087BA9C8-1831-410F-8A8F-BF2F9D14A105}" type="presOf" srcId="{6EDDC9A4-7743-45A1-A47F-DDC8AA334378}" destId="{8E010497-E5A8-4319-AFB0-5D34092ECD88}" srcOrd="1" destOrd="0" presId="urn:microsoft.com/office/officeart/2005/8/layout/hierarchy3"/>
    <dgm:cxn modelId="{55A8A129-A5D9-446E-8C24-4A7E5EDDBBDC}" srcId="{0864151C-55A8-4402-A51E-35DDE1DCFDCF}" destId="{9C07E8BA-B3FD-42C8-B782-31F94FDE4DD6}" srcOrd="0" destOrd="0" parTransId="{3F98D161-D752-4940-A3D1-1ED95BE5267D}" sibTransId="{FD503510-49B1-4365-B7AF-30C80A18DA9B}"/>
    <dgm:cxn modelId="{3C2A0D24-6B62-4443-B5DF-701793D63739}" type="presOf" srcId="{2A593D08-6C4F-4893-8DEF-0F179E451227}" destId="{06166254-EAD0-4311-851E-F063E7192781}" srcOrd="0" destOrd="0" presId="urn:microsoft.com/office/officeart/2005/8/layout/hierarchy3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E9F64A66-04DC-413E-8362-B39FCD3C0816}" type="presOf" srcId="{9C07E8BA-B3FD-42C8-B782-31F94FDE4DD6}" destId="{F5A3E357-4324-493A-86ED-EC691E29B736}" srcOrd="0" destOrd="0" presId="urn:microsoft.com/office/officeart/2005/8/layout/hierarchy3"/>
    <dgm:cxn modelId="{DEF9FF57-90E0-43E4-B49E-3292BE17A0D8}" type="presOf" srcId="{BDBCC219-4C3D-48A0-873D-3410196E724D}" destId="{19F52A35-1DDD-4AA1-8030-AC492AEDD601}" srcOrd="0" destOrd="0" presId="urn:microsoft.com/office/officeart/2005/8/layout/hierarchy3"/>
    <dgm:cxn modelId="{9B0F709A-F2A7-4913-8B75-1FAF3776051E}" type="presOf" srcId="{F89AF49F-A488-44B1-BFC1-3B4B7A0B9C6F}" destId="{3C38952E-665C-4463-B37A-A786B882B495}" srcOrd="0" destOrd="0" presId="urn:microsoft.com/office/officeart/2005/8/layout/hierarchy3"/>
    <dgm:cxn modelId="{A0F9D516-C94B-4805-8A78-789BBFAFA9CD}" type="presOf" srcId="{02B9985B-7F57-43D5-A167-ED9248916466}" destId="{E401CA66-E0CC-4580-B865-916053515C0A}" srcOrd="0" destOrd="0" presId="urn:microsoft.com/office/officeart/2005/8/layout/hierarchy3"/>
    <dgm:cxn modelId="{C97CCF7E-7356-424F-8C9C-CABD41CBA7D6}" type="presParOf" srcId="{B388476D-662D-499E-86FF-075E40B9B116}" destId="{4CCE11F2-9671-4C6B-9F76-2C10D78361EF}" srcOrd="0" destOrd="0" presId="urn:microsoft.com/office/officeart/2005/8/layout/hierarchy3"/>
    <dgm:cxn modelId="{CA8EE6C1-87EE-42F3-8941-7E7D9A288B79}" type="presParOf" srcId="{4CCE11F2-9671-4C6B-9F76-2C10D78361EF}" destId="{C557614C-F630-4D5F-BE22-AB9FC945D279}" srcOrd="0" destOrd="0" presId="urn:microsoft.com/office/officeart/2005/8/layout/hierarchy3"/>
    <dgm:cxn modelId="{67ADDC01-CA29-4E66-8D87-5153EBCF23A5}" type="presParOf" srcId="{C557614C-F630-4D5F-BE22-AB9FC945D279}" destId="{1A83EF98-3231-40EA-B1D6-7E43DBA651A6}" srcOrd="0" destOrd="0" presId="urn:microsoft.com/office/officeart/2005/8/layout/hierarchy3"/>
    <dgm:cxn modelId="{D857E9A4-5E1F-42A7-80C9-613B56154AE5}" type="presParOf" srcId="{C557614C-F630-4D5F-BE22-AB9FC945D279}" destId="{8E010497-E5A8-4319-AFB0-5D34092ECD88}" srcOrd="1" destOrd="0" presId="urn:microsoft.com/office/officeart/2005/8/layout/hierarchy3"/>
    <dgm:cxn modelId="{1942146A-DD8B-4EAF-9FBF-80C7473261E1}" type="presParOf" srcId="{4CCE11F2-9671-4C6B-9F76-2C10D78361EF}" destId="{2F8125D7-8EE8-4988-87E0-9DDFA76BED4A}" srcOrd="1" destOrd="0" presId="urn:microsoft.com/office/officeart/2005/8/layout/hierarchy3"/>
    <dgm:cxn modelId="{47B05C66-3D16-43D7-A782-CE4E729B3126}" type="presParOf" srcId="{2F8125D7-8EE8-4988-87E0-9DDFA76BED4A}" destId="{E401CA66-E0CC-4580-B865-916053515C0A}" srcOrd="0" destOrd="0" presId="urn:microsoft.com/office/officeart/2005/8/layout/hierarchy3"/>
    <dgm:cxn modelId="{6F1DCB30-E2C4-4399-A07D-EFDEE1E63670}" type="presParOf" srcId="{2F8125D7-8EE8-4988-87E0-9DDFA76BED4A}" destId="{502E3CA8-4633-4F6E-956E-8D77AF0B9A67}" srcOrd="1" destOrd="0" presId="urn:microsoft.com/office/officeart/2005/8/layout/hierarchy3"/>
    <dgm:cxn modelId="{372300E9-3EBD-4C5D-8009-0B68B33B8F50}" type="presParOf" srcId="{2F8125D7-8EE8-4988-87E0-9DDFA76BED4A}" destId="{F1317D2F-48EA-4414-B8C3-0F0DF1020FA4}" srcOrd="2" destOrd="0" presId="urn:microsoft.com/office/officeart/2005/8/layout/hierarchy3"/>
    <dgm:cxn modelId="{8211E66B-ADB2-4599-B69A-EEAEA546FEDF}" type="presParOf" srcId="{2F8125D7-8EE8-4988-87E0-9DDFA76BED4A}" destId="{06166254-EAD0-4311-851E-F063E7192781}" srcOrd="3" destOrd="0" presId="urn:microsoft.com/office/officeart/2005/8/layout/hierarchy3"/>
    <dgm:cxn modelId="{7DDDA706-67F5-4CD0-AA83-09525DAC1964}" type="presParOf" srcId="{2F8125D7-8EE8-4988-87E0-9DDFA76BED4A}" destId="{6BDC0A78-E0F7-49BA-94F7-90F8325464B0}" srcOrd="4" destOrd="0" presId="urn:microsoft.com/office/officeart/2005/8/layout/hierarchy3"/>
    <dgm:cxn modelId="{5285AF5A-C7AB-40FD-98B9-3DDC858BAA70}" type="presParOf" srcId="{2F8125D7-8EE8-4988-87E0-9DDFA76BED4A}" destId="{A0FCCB2E-3A45-460E-890E-5C6DC46BDDA2}" srcOrd="5" destOrd="0" presId="urn:microsoft.com/office/officeart/2005/8/layout/hierarchy3"/>
    <dgm:cxn modelId="{AF8CEABC-493D-4B3C-B6F3-AB113469FC60}" type="presParOf" srcId="{B388476D-662D-499E-86FF-075E40B9B116}" destId="{2FB5DE3C-867A-44B8-89CD-BAF599600FD9}" srcOrd="1" destOrd="0" presId="urn:microsoft.com/office/officeart/2005/8/layout/hierarchy3"/>
    <dgm:cxn modelId="{60F3A49B-3559-4E73-9A27-BF070FDD3DDA}" type="presParOf" srcId="{2FB5DE3C-867A-44B8-89CD-BAF599600FD9}" destId="{9DE9E381-FFCB-4D13-B9AA-C091B657A585}" srcOrd="0" destOrd="0" presId="urn:microsoft.com/office/officeart/2005/8/layout/hierarchy3"/>
    <dgm:cxn modelId="{5A90290B-78F5-4335-A47F-2286627E6B39}" type="presParOf" srcId="{9DE9E381-FFCB-4D13-B9AA-C091B657A585}" destId="{CCF1B5AD-441C-4182-AB14-F5EBF8654620}" srcOrd="0" destOrd="0" presId="urn:microsoft.com/office/officeart/2005/8/layout/hierarchy3"/>
    <dgm:cxn modelId="{8CAA2DCA-D1EC-4FFC-A53B-8FEFB37B8826}" type="presParOf" srcId="{9DE9E381-FFCB-4D13-B9AA-C091B657A585}" destId="{F5A8D68E-1317-4112-8179-3D951CA9F398}" srcOrd="1" destOrd="0" presId="urn:microsoft.com/office/officeart/2005/8/layout/hierarchy3"/>
    <dgm:cxn modelId="{C7EE3BCA-0AFF-4031-B6D0-350A21AB5C65}" type="presParOf" srcId="{2FB5DE3C-867A-44B8-89CD-BAF599600FD9}" destId="{25491ECF-4A66-42F1-8AA3-00082B855958}" srcOrd="1" destOrd="0" presId="urn:microsoft.com/office/officeart/2005/8/layout/hierarchy3"/>
    <dgm:cxn modelId="{6469C76F-D6EC-4C16-A7A9-3ACE25DE3B3E}" type="presParOf" srcId="{25491ECF-4A66-42F1-8AA3-00082B855958}" destId="{5873286C-BE2C-4BDC-AB7F-83A56B85C3BA}" srcOrd="0" destOrd="0" presId="urn:microsoft.com/office/officeart/2005/8/layout/hierarchy3"/>
    <dgm:cxn modelId="{F9451AA0-BDE7-418B-9B54-0A04B22ED5D5}" type="presParOf" srcId="{25491ECF-4A66-42F1-8AA3-00082B855958}" destId="{F5A3E357-4324-493A-86ED-EC691E29B736}" srcOrd="1" destOrd="0" presId="urn:microsoft.com/office/officeart/2005/8/layout/hierarchy3"/>
    <dgm:cxn modelId="{898FAE5C-E48A-4246-ADAA-5CEBA938A00B}" type="presParOf" srcId="{B388476D-662D-499E-86FF-075E40B9B116}" destId="{B5F88AEE-451A-4C5A-8D98-001CB6888185}" srcOrd="2" destOrd="0" presId="urn:microsoft.com/office/officeart/2005/8/layout/hierarchy3"/>
    <dgm:cxn modelId="{8D85BE69-2F71-4B7C-89DB-C2D40CCF41BB}" type="presParOf" srcId="{B5F88AEE-451A-4C5A-8D98-001CB6888185}" destId="{CE3720F1-9340-4685-87FD-D50F37CC033B}" srcOrd="0" destOrd="0" presId="urn:microsoft.com/office/officeart/2005/8/layout/hierarchy3"/>
    <dgm:cxn modelId="{A77965B6-2E55-4825-86FF-B85888565080}" type="presParOf" srcId="{CE3720F1-9340-4685-87FD-D50F37CC033B}" destId="{A52CC481-1E94-45D5-998C-116D7F06F43C}" srcOrd="0" destOrd="0" presId="urn:microsoft.com/office/officeart/2005/8/layout/hierarchy3"/>
    <dgm:cxn modelId="{A0BAE621-E73C-4785-81F6-AA6484DFCEE2}" type="presParOf" srcId="{CE3720F1-9340-4685-87FD-D50F37CC033B}" destId="{FA81A31F-68B4-47C4-B547-823393526F80}" srcOrd="1" destOrd="0" presId="urn:microsoft.com/office/officeart/2005/8/layout/hierarchy3"/>
    <dgm:cxn modelId="{304E9DD8-7E5B-477F-BAD7-FBCF7AC9EABF}" type="presParOf" srcId="{B5F88AEE-451A-4C5A-8D98-001CB6888185}" destId="{13D5A3C6-CE80-425E-9D29-FCD90E15EBB7}" srcOrd="1" destOrd="0" presId="urn:microsoft.com/office/officeart/2005/8/layout/hierarchy3"/>
    <dgm:cxn modelId="{A7F6C452-2B1A-4345-AB1E-557696C52B25}" type="presParOf" srcId="{13D5A3C6-CE80-425E-9D29-FCD90E15EBB7}" destId="{EE9D00C4-D2C7-4FC5-8294-1E69973FB5F8}" srcOrd="0" destOrd="0" presId="urn:microsoft.com/office/officeart/2005/8/layout/hierarchy3"/>
    <dgm:cxn modelId="{CD043939-2960-4A8B-8450-31A4C0C3BA1A}" type="presParOf" srcId="{13D5A3C6-CE80-425E-9D29-FCD90E15EBB7}" destId="{5833CB5C-BF6D-4796-A3D1-E840B57D7143}" srcOrd="1" destOrd="0" presId="urn:microsoft.com/office/officeart/2005/8/layout/hierarchy3"/>
    <dgm:cxn modelId="{ACA6F81E-ED93-465F-8AC3-AC9FDFF53A98}" type="presParOf" srcId="{13D5A3C6-CE80-425E-9D29-FCD90E15EBB7}" destId="{6A4A5C1A-F165-419D-AF4E-5B55115246BA}" srcOrd="2" destOrd="0" presId="urn:microsoft.com/office/officeart/2005/8/layout/hierarchy3"/>
    <dgm:cxn modelId="{FFC3266D-DC5C-4062-970D-9BAA7715BBE1}" type="presParOf" srcId="{13D5A3C6-CE80-425E-9D29-FCD90E15EBB7}" destId="{9272F942-0445-4013-9BB5-584A45F92046}" srcOrd="3" destOrd="0" presId="urn:microsoft.com/office/officeart/2005/8/layout/hierarchy3"/>
    <dgm:cxn modelId="{7111D6D6-DC52-4969-BBEB-09A6274C3083}" type="presParOf" srcId="{13D5A3C6-CE80-425E-9D29-FCD90E15EBB7}" destId="{3C38952E-665C-4463-B37A-A786B882B495}" srcOrd="4" destOrd="0" presId="urn:microsoft.com/office/officeart/2005/8/layout/hierarchy3"/>
    <dgm:cxn modelId="{B57A4874-F1EB-41B3-8DA1-B28C558A6F2E}" type="presParOf" srcId="{13D5A3C6-CE80-425E-9D29-FCD90E15EBB7}" destId="{73D62561-92BD-4D7F-9A79-FD565A47F148}" srcOrd="5" destOrd="0" presId="urn:microsoft.com/office/officeart/2005/8/layout/hierarchy3"/>
    <dgm:cxn modelId="{633EBDF9-42EC-4CC5-911F-737F6ABBB203}" type="presParOf" srcId="{13D5A3C6-CE80-425E-9D29-FCD90E15EBB7}" destId="{F579173D-D7B7-47BC-B2BE-62E9DB6F29E9}" srcOrd="6" destOrd="0" presId="urn:microsoft.com/office/officeart/2005/8/layout/hierarchy3"/>
    <dgm:cxn modelId="{DFF0E12D-2D28-46AB-A83B-5DCEEEF9A8DE}" type="presParOf" srcId="{13D5A3C6-CE80-425E-9D29-FCD90E15EBB7}" destId="{19F52A35-1DDD-4AA1-8030-AC492AEDD601}" srcOrd="7" destOrd="0" presId="urn:microsoft.com/office/officeart/2005/8/layout/hierarchy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83EF98-3231-40EA-B1D6-7E43DBA651A6}">
      <dsp:nvSpPr>
        <dsp:cNvPr id="0" name=""/>
        <dsp:cNvSpPr/>
      </dsp:nvSpPr>
      <dsp:spPr>
        <a:xfrm>
          <a:off x="196683" y="109833"/>
          <a:ext cx="1955494" cy="483057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ფაქტობრივი გარემოებები</a:t>
          </a:r>
          <a:endParaRPr lang="en-US" sz="1200" b="1" kern="1200">
            <a:latin typeface="Sylfaen" pitchFamily="18" charset="0"/>
          </a:endParaRPr>
        </a:p>
      </dsp:txBody>
      <dsp:txXfrm>
        <a:off x="210831" y="123981"/>
        <a:ext cx="1927198" cy="454761"/>
      </dsp:txXfrm>
    </dsp:sp>
    <dsp:sp modelId="{E401CA66-E0CC-4580-B865-916053515C0A}">
      <dsp:nvSpPr>
        <dsp:cNvPr id="0" name=""/>
        <dsp:cNvSpPr/>
      </dsp:nvSpPr>
      <dsp:spPr>
        <a:xfrm>
          <a:off x="392233" y="592890"/>
          <a:ext cx="166080" cy="980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0271"/>
              </a:lnTo>
              <a:lnTo>
                <a:pt x="166080" y="980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2E3CA8-4633-4F6E-956E-8D77AF0B9A67}">
      <dsp:nvSpPr>
        <dsp:cNvPr id="0" name=""/>
        <dsp:cNvSpPr/>
      </dsp:nvSpPr>
      <dsp:spPr>
        <a:xfrm>
          <a:off x="558314" y="874329"/>
          <a:ext cx="1696054" cy="13976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kern="1200">
              <a:latin typeface="Sylfaen" pitchFamily="18" charset="0"/>
            </a:rPr>
            <a:t>საწარმოს მიერ საგადასახადო ორგანოში არ არის წარდგენილი 2004 წლის ყოველთვიური საშემოსავლო გადასახადის გაანგარიშება</a:t>
          </a:r>
          <a:endParaRPr lang="en-US" sz="1100" b="0" kern="1200">
            <a:latin typeface="Sylfaen" pitchFamily="18" charset="0"/>
          </a:endParaRPr>
        </a:p>
      </dsp:txBody>
      <dsp:txXfrm>
        <a:off x="599250" y="915265"/>
        <a:ext cx="1614182" cy="1315793"/>
      </dsp:txXfrm>
    </dsp:sp>
    <dsp:sp modelId="{F1317D2F-48EA-4414-B8C3-0F0DF1020FA4}">
      <dsp:nvSpPr>
        <dsp:cNvPr id="0" name=""/>
        <dsp:cNvSpPr/>
      </dsp:nvSpPr>
      <dsp:spPr>
        <a:xfrm>
          <a:off x="392233" y="592890"/>
          <a:ext cx="139511" cy="28584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58461"/>
              </a:lnTo>
              <a:lnTo>
                <a:pt x="139511" y="28584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166254-EAD0-4311-851E-F063E7192781}">
      <dsp:nvSpPr>
        <dsp:cNvPr id="0" name=""/>
        <dsp:cNvSpPr/>
      </dsp:nvSpPr>
      <dsp:spPr>
        <a:xfrm>
          <a:off x="531744" y="2457449"/>
          <a:ext cx="1783848" cy="198780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2004 წლის სოციალური გადასახადის პირადი ბარათის მიხედვით გაირკვა, რომ საწარმოს დეკლარირებული აქვს სოციალური გადასახადი, რითაც დგინდება საშემოსავლო გადასახადის ბაზა და ხელფასების გაცემის ფაქტი</a:t>
          </a:r>
          <a:endParaRPr lang="en-US" sz="1100" kern="1200">
            <a:latin typeface="Sylfaen" pitchFamily="18" charset="0"/>
          </a:endParaRPr>
        </a:p>
      </dsp:txBody>
      <dsp:txXfrm>
        <a:off x="583991" y="2509696"/>
        <a:ext cx="1679354" cy="1883310"/>
      </dsp:txXfrm>
    </dsp:sp>
    <dsp:sp modelId="{6BDC0A78-E0F7-49BA-94F7-90F8325464B0}">
      <dsp:nvSpPr>
        <dsp:cNvPr id="0" name=""/>
        <dsp:cNvSpPr/>
      </dsp:nvSpPr>
      <dsp:spPr>
        <a:xfrm>
          <a:off x="392233" y="592890"/>
          <a:ext cx="131489" cy="49404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40499"/>
              </a:lnTo>
              <a:lnTo>
                <a:pt x="131489" y="49404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FCCB2E-3A45-460E-890E-5C6DC46BDDA2}">
      <dsp:nvSpPr>
        <dsp:cNvPr id="0" name=""/>
        <dsp:cNvSpPr/>
      </dsp:nvSpPr>
      <dsp:spPr>
        <a:xfrm>
          <a:off x="523723" y="4602449"/>
          <a:ext cx="1800780" cy="186188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საგადასახადო შემოწმებისას, შემმოწმებელთა მხრიდან კანონმდებლობით დადგენილი წესით მოთხოვნის მიუხედავად, საწარმომ არ წარადგინა შესაბამისი პერიოდის საშემოსავლო გადასახადის გაანგარიშებები</a:t>
          </a:r>
          <a:endParaRPr lang="en-US" sz="1100" kern="1200">
            <a:latin typeface="Sylfaen" pitchFamily="18" charset="0"/>
          </a:endParaRPr>
        </a:p>
      </dsp:txBody>
      <dsp:txXfrm>
        <a:off x="576466" y="4655192"/>
        <a:ext cx="1695294" cy="1756396"/>
      </dsp:txXfrm>
    </dsp:sp>
    <dsp:sp modelId="{CCF1B5AD-441C-4182-AB14-F5EBF8654620}">
      <dsp:nvSpPr>
        <dsp:cNvPr id="0" name=""/>
        <dsp:cNvSpPr/>
      </dsp:nvSpPr>
      <dsp:spPr>
        <a:xfrm>
          <a:off x="2259073" y="91627"/>
          <a:ext cx="2619073" cy="472627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შეფასება</a:t>
          </a:r>
          <a:endParaRPr lang="en-US" sz="1200" b="1" kern="1200">
            <a:latin typeface="Sylfaen" pitchFamily="18" charset="0"/>
          </a:endParaRPr>
        </a:p>
      </dsp:txBody>
      <dsp:txXfrm>
        <a:off x="2272916" y="105470"/>
        <a:ext cx="2591387" cy="444941"/>
      </dsp:txXfrm>
    </dsp:sp>
    <dsp:sp modelId="{5873286C-BE2C-4BDC-AB7F-83A56B85C3BA}">
      <dsp:nvSpPr>
        <dsp:cNvPr id="0" name=""/>
        <dsp:cNvSpPr/>
      </dsp:nvSpPr>
      <dsp:spPr>
        <a:xfrm>
          <a:off x="2520981" y="564255"/>
          <a:ext cx="193328" cy="9142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4255"/>
              </a:lnTo>
              <a:lnTo>
                <a:pt x="193328" y="9142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A3E357-4324-493A-86ED-EC691E29B736}">
      <dsp:nvSpPr>
        <dsp:cNvPr id="0" name=""/>
        <dsp:cNvSpPr/>
      </dsp:nvSpPr>
      <dsp:spPr>
        <a:xfrm>
          <a:off x="2714309" y="874499"/>
          <a:ext cx="2146864" cy="12080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solidFill>
                <a:schemeClr val="tx1"/>
              </a:solidFill>
              <a:latin typeface="Sylfaen" pitchFamily="18" charset="0"/>
            </a:rPr>
            <a:t>საწარმო</a:t>
          </a:r>
          <a:r>
            <a:rPr lang="ka-GE" sz="1100" kern="1200" baseline="0">
              <a:solidFill>
                <a:schemeClr val="tx1"/>
              </a:solidFill>
              <a:latin typeface="Sylfaen" pitchFamily="18" charset="0"/>
            </a:rPr>
            <a:t> ვალდებული იყო დაეკავებინა საშემოსავლო გადასახადი, განეხორციელებინა ანგარიშგება და გადაერიცხა ბიუჯეტში შესაბამისი თვეების მიხედვით</a:t>
          </a:r>
          <a:endParaRPr lang="en-US" sz="1100" kern="1200">
            <a:solidFill>
              <a:schemeClr val="tx1"/>
            </a:solidFill>
            <a:latin typeface="Sylfaen" pitchFamily="18" charset="0"/>
          </a:endParaRPr>
        </a:p>
      </dsp:txBody>
      <dsp:txXfrm>
        <a:off x="2749691" y="909881"/>
        <a:ext cx="2076100" cy="1137260"/>
      </dsp:txXfrm>
    </dsp:sp>
    <dsp:sp modelId="{A52CC481-1E94-45D5-998C-116D7F06F43C}">
      <dsp:nvSpPr>
        <dsp:cNvPr id="0" name=""/>
        <dsp:cNvSpPr/>
      </dsp:nvSpPr>
      <dsp:spPr>
        <a:xfrm>
          <a:off x="5019581" y="81912"/>
          <a:ext cx="1998279" cy="480494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ღონისძიებები</a:t>
          </a:r>
          <a:endParaRPr lang="en-US" sz="1200" b="1" kern="1200">
            <a:latin typeface="Sylfaen" pitchFamily="18" charset="0"/>
          </a:endParaRPr>
        </a:p>
      </dsp:txBody>
      <dsp:txXfrm>
        <a:off x="5033654" y="95985"/>
        <a:ext cx="1970133" cy="452348"/>
      </dsp:txXfrm>
    </dsp:sp>
    <dsp:sp modelId="{EE9D00C4-D2C7-4FC5-8294-1E69973FB5F8}">
      <dsp:nvSpPr>
        <dsp:cNvPr id="0" name=""/>
        <dsp:cNvSpPr/>
      </dsp:nvSpPr>
      <dsp:spPr>
        <a:xfrm>
          <a:off x="5219409" y="562406"/>
          <a:ext cx="135983" cy="10175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7560"/>
              </a:lnTo>
              <a:lnTo>
                <a:pt x="135983" y="10175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33CB5C-BF6D-4796-A3D1-E840B57D7143}">
      <dsp:nvSpPr>
        <dsp:cNvPr id="0" name=""/>
        <dsp:cNvSpPr/>
      </dsp:nvSpPr>
      <dsp:spPr>
        <a:xfrm>
          <a:off x="5355392" y="869332"/>
          <a:ext cx="1930724" cy="1421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i="0" kern="1200">
              <a:latin typeface="Sylfaen" pitchFamily="18" charset="0"/>
            </a:rPr>
            <a:t>უნდა განხორციელდეს საშემოსავლო გადასახადის გაანგარიშება სოციალური გადასახადის დეკალრაციაში ასახული მონაცემებიდან გამომდინარე შესაბამისი პერიოდების მიხედვით </a:t>
          </a:r>
          <a:endParaRPr lang="en-US" sz="1100" b="0" i="0" kern="1200">
            <a:latin typeface="Sylfaen" pitchFamily="18" charset="0"/>
          </a:endParaRPr>
        </a:p>
      </dsp:txBody>
      <dsp:txXfrm>
        <a:off x="5397020" y="910960"/>
        <a:ext cx="1847468" cy="1338013"/>
      </dsp:txXfrm>
    </dsp:sp>
    <dsp:sp modelId="{6A4A5C1A-F165-419D-AF4E-5B55115246BA}">
      <dsp:nvSpPr>
        <dsp:cNvPr id="0" name=""/>
        <dsp:cNvSpPr/>
      </dsp:nvSpPr>
      <dsp:spPr>
        <a:xfrm>
          <a:off x="5219409" y="562406"/>
          <a:ext cx="136854" cy="24833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83370"/>
              </a:lnTo>
              <a:lnTo>
                <a:pt x="136854" y="248337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72F942-0445-4013-9BB5-584A45F92046}">
      <dsp:nvSpPr>
        <dsp:cNvPr id="0" name=""/>
        <dsp:cNvSpPr/>
      </dsp:nvSpPr>
      <dsp:spPr>
        <a:xfrm>
          <a:off x="5356264" y="2402255"/>
          <a:ext cx="1953945" cy="12870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უნდა მოხდეს გამოანგარიშებული საშემოსავლო გადასახადის ძირითადი გადასახადის სახით დარიცხვა შესაბამისი პერიოდების მიხედვით</a:t>
          </a:r>
          <a:endParaRPr lang="en-US" sz="1100" kern="1200">
            <a:latin typeface="Sylfaen" pitchFamily="18" charset="0"/>
          </a:endParaRPr>
        </a:p>
      </dsp:txBody>
      <dsp:txXfrm>
        <a:off x="5393960" y="2439951"/>
        <a:ext cx="1878553" cy="1211651"/>
      </dsp:txXfrm>
    </dsp:sp>
    <dsp:sp modelId="{3C38952E-665C-4463-B37A-A786B882B495}">
      <dsp:nvSpPr>
        <dsp:cNvPr id="0" name=""/>
        <dsp:cNvSpPr/>
      </dsp:nvSpPr>
      <dsp:spPr>
        <a:xfrm>
          <a:off x="5219409" y="562406"/>
          <a:ext cx="154386" cy="37217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21731"/>
              </a:lnTo>
              <a:lnTo>
                <a:pt x="154386" y="37217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D62561-92BD-4D7F-9A79-FD565A47F148}">
      <dsp:nvSpPr>
        <dsp:cNvPr id="0" name=""/>
        <dsp:cNvSpPr/>
      </dsp:nvSpPr>
      <dsp:spPr>
        <a:xfrm>
          <a:off x="5373795" y="3800085"/>
          <a:ext cx="1910180" cy="96810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 შესაბამის გაანგარიშების ფორმის წარუდგენლობისათვის დაჯარიმდება სსკ-ის 137-ე მუხლის საფუძველზე</a:t>
          </a:r>
          <a:endParaRPr lang="en-US" sz="1100" kern="1200">
            <a:latin typeface="Sylfaen" pitchFamily="18" charset="0"/>
          </a:endParaRPr>
        </a:p>
      </dsp:txBody>
      <dsp:txXfrm>
        <a:off x="5402150" y="3828440"/>
        <a:ext cx="1853470" cy="911395"/>
      </dsp:txXfrm>
    </dsp:sp>
    <dsp:sp modelId="{F579173D-D7B7-47BC-B2BE-62E9DB6F29E9}">
      <dsp:nvSpPr>
        <dsp:cNvPr id="0" name=""/>
        <dsp:cNvSpPr/>
      </dsp:nvSpPr>
      <dsp:spPr>
        <a:xfrm>
          <a:off x="5219409" y="562406"/>
          <a:ext cx="171128" cy="48378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37830"/>
              </a:lnTo>
              <a:lnTo>
                <a:pt x="171128" y="483783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F52A35-1DDD-4AA1-8030-AC492AEDD601}">
      <dsp:nvSpPr>
        <dsp:cNvPr id="0" name=""/>
        <dsp:cNvSpPr/>
      </dsp:nvSpPr>
      <dsp:spPr>
        <a:xfrm>
          <a:off x="5390537" y="4874144"/>
          <a:ext cx="1869736" cy="10521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 დაჯარიმდება გადასახადის თანხის დაუკავებლობის გამო სსკ-ის 134-ე მუხლის საფუძველზე</a:t>
          </a:r>
          <a:endParaRPr lang="en-US" sz="1100" kern="1200">
            <a:latin typeface="Sylfaen" pitchFamily="18" charset="0"/>
          </a:endParaRPr>
        </a:p>
      </dsp:txBody>
      <dsp:txXfrm>
        <a:off x="5421354" y="4904961"/>
        <a:ext cx="1808102" cy="990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D955A-CB2F-496B-946A-2971A9B6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s.chkhaidze</dc:creator>
  <cp:lastModifiedBy>Maia Pkhovelishvili</cp:lastModifiedBy>
  <cp:revision>4</cp:revision>
  <cp:lastPrinted>2012-07-19T14:27:00Z</cp:lastPrinted>
  <dcterms:created xsi:type="dcterms:W3CDTF">2013-09-12T15:17:00Z</dcterms:created>
  <dcterms:modified xsi:type="dcterms:W3CDTF">2013-09-13T07:41:00Z</dcterms:modified>
</cp:coreProperties>
</file>